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777C4F" w:rsidRDefault="003E5CB9">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#98</w:t>
      </w:r>
      <w:r>
        <w:rPr>
          <w:rFonts w:ascii="Arial" w:hAnsi="Arial" w:cs="Arial"/>
          <w:b/>
          <w:bCs/>
          <w:sz w:val="22"/>
          <w:szCs w:val="22"/>
        </w:rPr>
        <w:tab/>
      </w:r>
      <w:r>
        <w:rPr>
          <w:rFonts w:ascii="Arial" w:hAnsi="Arial" w:cs="Arial"/>
          <w:b/>
          <w:bCs/>
          <w:sz w:val="22"/>
          <w:szCs w:val="22"/>
        </w:rPr>
        <w:tab/>
        <w:t>R1-</w:t>
      </w:r>
      <w:r w:rsidR="00EF055E" w:rsidRPr="00EF055E">
        <w:t xml:space="preserve"> </w:t>
      </w:r>
      <w:r w:rsidR="00EF055E" w:rsidRPr="00EF055E">
        <w:rPr>
          <w:rFonts w:ascii="Arial" w:hAnsi="Arial" w:cs="Arial"/>
          <w:b/>
          <w:bCs/>
          <w:sz w:val="22"/>
          <w:szCs w:val="22"/>
        </w:rPr>
        <w:t>1908796</w:t>
      </w:r>
    </w:p>
    <w:p w:rsidR="00777C4F" w:rsidRDefault="003E5CB9">
      <w:pPr>
        <w:tabs>
          <w:tab w:val="center" w:pos="4536"/>
          <w:tab w:val="right" w:pos="9639"/>
        </w:tabs>
        <w:spacing w:before="120" w:after="120" w:line="240" w:lineRule="auto"/>
        <w:ind w:right="2"/>
        <w:rPr>
          <w:rFonts w:ascii="Arial" w:hAnsi="Arial" w:cs="Arial"/>
          <w:b/>
          <w:bCs/>
          <w:sz w:val="22"/>
          <w:szCs w:val="22"/>
        </w:rPr>
      </w:pPr>
      <w:r>
        <w:rPr>
          <w:rFonts w:ascii="Arial" w:hAnsi="Arial" w:cs="Arial" w:hint="eastAsia"/>
          <w:b/>
          <w:bCs/>
          <w:sz w:val="22"/>
          <w:szCs w:val="22"/>
        </w:rPr>
        <w:t xml:space="preserve">Prague, CZ, August 26th </w:t>
      </w:r>
      <w:r>
        <w:rPr>
          <w:rFonts w:ascii="Arial" w:hAnsi="Arial" w:cs="Arial" w:hint="eastAsia"/>
          <w:b/>
          <w:bCs/>
          <w:sz w:val="22"/>
          <w:szCs w:val="22"/>
        </w:rPr>
        <w:t>–</w:t>
      </w:r>
      <w:r>
        <w:rPr>
          <w:rFonts w:ascii="Arial" w:hAnsi="Arial" w:cs="Arial" w:hint="eastAsia"/>
          <w:b/>
          <w:bCs/>
          <w:sz w:val="22"/>
          <w:szCs w:val="22"/>
        </w:rPr>
        <w:t xml:space="preserve"> 30th, 2019</w:t>
      </w:r>
    </w:p>
    <w:p w:rsidR="00777C4F" w:rsidRDefault="003E5CB9">
      <w:pPr>
        <w:tabs>
          <w:tab w:val="left" w:pos="1985"/>
        </w:tabs>
        <w:spacing w:beforeLines="100" w:before="24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Discussion on NR Uu controlling LTE sidelink</w:t>
      </w:r>
    </w:p>
    <w:p w:rsidR="00777C4F" w:rsidRDefault="003E5CB9">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Sanechips</w:t>
      </w:r>
    </w:p>
    <w:p w:rsidR="00777C4F" w:rsidRDefault="003E5CB9">
      <w:pPr>
        <w:tabs>
          <w:tab w:val="left" w:pos="1985"/>
        </w:tabs>
        <w:spacing w:before="156" w:after="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7.2.4.7</w:t>
      </w:r>
    </w:p>
    <w:p w:rsidR="00777C4F" w:rsidRDefault="003E5CB9">
      <w:pPr>
        <w:tabs>
          <w:tab w:val="left" w:pos="1985"/>
        </w:tabs>
        <w:spacing w:before="156" w:after="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777C4F" w:rsidRDefault="003E5CB9">
      <w:pPr>
        <w:pStyle w:val="1"/>
        <w:spacing w:before="156"/>
        <w:ind w:left="0"/>
        <w:rPr>
          <w:rFonts w:eastAsia="宋体"/>
        </w:rPr>
      </w:pPr>
      <w:r>
        <w:rPr>
          <w:rFonts w:eastAsia="宋体" w:hint="eastAsia"/>
        </w:rPr>
        <w:t>Introduction</w:t>
      </w:r>
    </w:p>
    <w:p w:rsidR="00777C4F" w:rsidRDefault="003E5CB9">
      <w:pPr>
        <w:spacing w:before="120"/>
        <w:rPr>
          <w:sz w:val="20"/>
        </w:rPr>
      </w:pPr>
      <w:r>
        <w:rPr>
          <w:rFonts w:hint="eastAsia"/>
          <w:sz w:val="20"/>
        </w:rPr>
        <w:t>For the down-selection between DCI</w:t>
      </w:r>
      <w:r>
        <w:rPr>
          <w:sz w:val="20"/>
          <w:lang w:eastAsia="ko-KR"/>
        </w:rPr>
        <w:t>-based activation/deactivation</w:t>
      </w:r>
      <w:r>
        <w:rPr>
          <w:rFonts w:hint="eastAsia"/>
          <w:sz w:val="20"/>
        </w:rPr>
        <w:t xml:space="preserve"> and </w:t>
      </w:r>
      <w:r>
        <w:rPr>
          <w:sz w:val="20"/>
          <w:lang w:eastAsia="ko-KR"/>
        </w:rPr>
        <w:t>RRC-based activation/deactivation</w:t>
      </w:r>
      <w:r>
        <w:rPr>
          <w:rFonts w:hint="eastAsia"/>
          <w:sz w:val="20"/>
        </w:rPr>
        <w:t xml:space="preserve"> for NR Uu controlling mode 3, the following agreement is achieved in RAN1#97 meeting[1].</w:t>
      </w:r>
    </w:p>
    <w:tbl>
      <w:tblPr>
        <w:tblStyle w:val="a9"/>
        <w:tblW w:w="9571" w:type="dxa"/>
        <w:jc w:val="center"/>
        <w:tblLayout w:type="fixed"/>
        <w:tblLook w:val="04A0" w:firstRow="1" w:lastRow="0" w:firstColumn="1" w:lastColumn="0" w:noHBand="0" w:noVBand="1"/>
      </w:tblPr>
      <w:tblGrid>
        <w:gridCol w:w="9571"/>
      </w:tblGrid>
      <w:tr w:rsidR="00777C4F">
        <w:trPr>
          <w:jc w:val="center"/>
        </w:trPr>
        <w:tc>
          <w:tcPr>
            <w:tcW w:w="9571" w:type="dxa"/>
          </w:tcPr>
          <w:p w:rsidR="00777C4F" w:rsidRDefault="003E5CB9">
            <w:pPr>
              <w:rPr>
                <w:sz w:val="20"/>
              </w:rPr>
            </w:pPr>
            <w:r>
              <w:rPr>
                <w:sz w:val="20"/>
                <w:highlight w:val="green"/>
              </w:rPr>
              <w:t>Agreements</w:t>
            </w:r>
            <w:r>
              <w:rPr>
                <w:sz w:val="20"/>
              </w:rPr>
              <w:t>:</w:t>
            </w:r>
          </w:p>
          <w:p w:rsidR="00777C4F" w:rsidRDefault="003E5CB9">
            <w:pPr>
              <w:pStyle w:val="ae"/>
              <w:numPr>
                <w:ilvl w:val="0"/>
                <w:numId w:val="6"/>
              </w:numPr>
              <w:spacing w:after="160" w:line="259" w:lineRule="auto"/>
              <w:rPr>
                <w:sz w:val="20"/>
                <w:szCs w:val="20"/>
              </w:rPr>
            </w:pPr>
            <w:r>
              <w:rPr>
                <w:sz w:val="20"/>
                <w:szCs w:val="20"/>
              </w:rPr>
              <w:t>RRC-based activation/deactivation is not supported</w:t>
            </w:r>
          </w:p>
          <w:p w:rsidR="00777C4F" w:rsidRDefault="003E5CB9">
            <w:pPr>
              <w:pStyle w:val="ae"/>
              <w:numPr>
                <w:ilvl w:val="0"/>
                <w:numId w:val="6"/>
              </w:numPr>
              <w:spacing w:after="160" w:line="259" w:lineRule="auto"/>
              <w:rPr>
                <w:sz w:val="20"/>
                <w:szCs w:val="20"/>
              </w:rPr>
            </w:pPr>
            <w:r>
              <w:rPr>
                <w:sz w:val="20"/>
                <w:szCs w:val="20"/>
              </w:rPr>
              <w:t xml:space="preserve">DCI-based activation/deactivation is supported </w:t>
            </w:r>
          </w:p>
          <w:p w:rsidR="00777C4F" w:rsidRDefault="003E5CB9">
            <w:pPr>
              <w:pStyle w:val="ae"/>
              <w:numPr>
                <w:ilvl w:val="1"/>
                <w:numId w:val="6"/>
              </w:numPr>
              <w:spacing w:after="160" w:line="259" w:lineRule="auto"/>
              <w:rPr>
                <w:sz w:val="20"/>
                <w:szCs w:val="20"/>
              </w:rPr>
            </w:pPr>
            <w:r>
              <w:rPr>
                <w:sz w:val="20"/>
                <w:szCs w:val="20"/>
              </w:rPr>
              <w:t>Support of LTE PC5 scheduling by NR Uu (mode 3-like )</w:t>
            </w:r>
            <w:r>
              <w:rPr>
                <w:rFonts w:eastAsia="Malgun Gothic"/>
                <w:i/>
                <w:sz w:val="20"/>
                <w:szCs w:val="20"/>
                <w:lang w:eastAsia="ko-KR"/>
              </w:rPr>
              <w:t xml:space="preserve"> </w:t>
            </w:r>
            <w:r>
              <w:rPr>
                <w:sz w:val="20"/>
                <w:szCs w:val="20"/>
              </w:rPr>
              <w:t>is based on UE capability</w:t>
            </w:r>
          </w:p>
          <w:p w:rsidR="00777C4F" w:rsidRDefault="003E5CB9">
            <w:pPr>
              <w:pStyle w:val="ae"/>
              <w:numPr>
                <w:ilvl w:val="1"/>
                <w:numId w:val="6"/>
              </w:numPr>
              <w:spacing w:after="160" w:line="259" w:lineRule="auto"/>
              <w:rPr>
                <w:sz w:val="20"/>
                <w:szCs w:val="20"/>
              </w:rPr>
            </w:pPr>
            <w:r>
              <w:rPr>
                <w:sz w:val="20"/>
                <w:szCs w:val="20"/>
              </w:rPr>
              <w:t>NR DCI provides the fields of DCI 5A in LTE-V that are related to SPS scheduling</w:t>
            </w:r>
          </w:p>
          <w:p w:rsidR="00777C4F" w:rsidRDefault="003E5CB9">
            <w:pPr>
              <w:pStyle w:val="ae"/>
              <w:numPr>
                <w:ilvl w:val="1"/>
                <w:numId w:val="6"/>
              </w:numPr>
              <w:spacing w:after="160" w:line="259" w:lineRule="auto"/>
              <w:rPr>
                <w:sz w:val="20"/>
                <w:szCs w:val="20"/>
              </w:rPr>
            </w:pPr>
            <w:r>
              <w:rPr>
                <w:sz w:val="20"/>
                <w:szCs w:val="20"/>
              </w:rPr>
              <w:t>The size of DCI for activation/deactivation is one of the DCI size(s) that will be defined for NR Uu scheduling NR V2V</w:t>
            </w:r>
          </w:p>
          <w:p w:rsidR="00777C4F" w:rsidRDefault="003E5CB9">
            <w:pPr>
              <w:pStyle w:val="ae"/>
              <w:numPr>
                <w:ilvl w:val="2"/>
                <w:numId w:val="6"/>
              </w:numPr>
              <w:spacing w:after="160" w:line="259" w:lineRule="auto"/>
              <w:rPr>
                <w:sz w:val="20"/>
                <w:szCs w:val="20"/>
              </w:rPr>
            </w:pPr>
            <w:r>
              <w:rPr>
                <w:sz w:val="20"/>
                <w:szCs w:val="20"/>
              </w:rPr>
              <w:t>FFS whether the DCI format is the same as one of the DCI formats that will be defined for NR Uu scheduling NR V2V</w:t>
            </w:r>
          </w:p>
          <w:p w:rsidR="00777C4F" w:rsidRDefault="003E5CB9">
            <w:pPr>
              <w:pStyle w:val="ae"/>
              <w:numPr>
                <w:ilvl w:val="1"/>
                <w:numId w:val="6"/>
              </w:numPr>
              <w:spacing w:after="160" w:line="259" w:lineRule="auto"/>
              <w:rPr>
                <w:sz w:val="20"/>
                <w:szCs w:val="20"/>
              </w:rPr>
            </w:pPr>
            <w:r>
              <w:rPr>
                <w:sz w:val="20"/>
                <w:szCs w:val="20"/>
              </w:rPr>
              <w:t>Activation/deactivation applies to the first LTE subframe after Z+X ms after receiving the DCI</w:t>
            </w:r>
          </w:p>
          <w:p w:rsidR="00777C4F" w:rsidRDefault="003E5CB9">
            <w:pPr>
              <w:pStyle w:val="ae"/>
              <w:numPr>
                <w:ilvl w:val="2"/>
                <w:numId w:val="6"/>
              </w:numPr>
              <w:spacing w:after="160" w:line="259" w:lineRule="auto"/>
              <w:rPr>
                <w:sz w:val="20"/>
                <w:szCs w:val="20"/>
              </w:rPr>
            </w:pPr>
            <w:r>
              <w:rPr>
                <w:sz w:val="20"/>
                <w:szCs w:val="20"/>
              </w:rPr>
              <w:t>Z is the same timing offset in current LTE V2X specs</w:t>
            </w:r>
          </w:p>
          <w:p w:rsidR="00777C4F" w:rsidRDefault="003E5CB9">
            <w:pPr>
              <w:pStyle w:val="ae"/>
              <w:numPr>
                <w:ilvl w:val="2"/>
                <w:numId w:val="6"/>
              </w:numPr>
              <w:spacing w:after="160" w:line="259" w:lineRule="auto"/>
              <w:rPr>
                <w:sz w:val="20"/>
                <w:szCs w:val="20"/>
              </w:rPr>
            </w:pPr>
            <w:r>
              <w:rPr>
                <w:sz w:val="20"/>
                <w:szCs w:val="20"/>
              </w:rPr>
              <w:t>X&gt;0. FFS value(s) of X, and if one or multiple values of X are possible</w:t>
            </w:r>
          </w:p>
          <w:p w:rsidR="00777C4F" w:rsidRDefault="003E5CB9">
            <w:pPr>
              <w:rPr>
                <w:sz w:val="20"/>
              </w:rPr>
            </w:pPr>
            <w:r>
              <w:rPr>
                <w:sz w:val="20"/>
              </w:rPr>
              <w:t xml:space="preserve">Draft LS to RAN to be prepared in </w:t>
            </w:r>
            <w:hyperlink r:id="rId8" w:history="1">
              <w:r>
                <w:rPr>
                  <w:rStyle w:val="ac"/>
                  <w:b/>
                  <w:sz w:val="20"/>
                </w:rPr>
                <w:t>R1-1907826</w:t>
              </w:r>
            </w:hyperlink>
            <w:r>
              <w:rPr>
                <w:sz w:val="20"/>
              </w:rPr>
              <w:t xml:space="preserve"> (Phillippe, Huawei), which is </w:t>
            </w:r>
            <w:r>
              <w:rPr>
                <w:sz w:val="20"/>
                <w:highlight w:val="green"/>
              </w:rPr>
              <w:t xml:space="preserve">approved </w:t>
            </w:r>
            <w:r>
              <w:rPr>
                <w:sz w:val="20"/>
              </w:rPr>
              <w:t>with the following update:</w:t>
            </w:r>
          </w:p>
          <w:p w:rsidR="00777C4F" w:rsidRDefault="003E5CB9">
            <w:pPr>
              <w:jc w:val="center"/>
              <w:rPr>
                <w:iCs/>
                <w:color w:val="FF0000"/>
                <w:sz w:val="20"/>
                <w:u w:val="single"/>
                <w:lang w:eastAsia="ja-JP"/>
              </w:rPr>
            </w:pPr>
            <w:r>
              <w:rPr>
                <w:iCs/>
                <w:sz w:val="20"/>
                <w:lang w:eastAsia="ja-JP"/>
              </w:rPr>
              <w:t xml:space="preserve">for LTE sidelink </w:t>
            </w:r>
            <w:r w:rsidRPr="00327C42">
              <w:rPr>
                <w:iCs/>
                <w:sz w:val="20"/>
                <w:lang w:eastAsia="ja-JP"/>
              </w:rPr>
              <w:t>for mode 3</w:t>
            </w:r>
          </w:p>
          <w:p w:rsidR="00777C4F" w:rsidRDefault="003E5CB9">
            <w:r>
              <w:rPr>
                <w:sz w:val="20"/>
              </w:rPr>
              <w:t xml:space="preserve">with final LS in </w:t>
            </w:r>
            <w:hyperlink r:id="rId9" w:history="1">
              <w:r>
                <w:rPr>
                  <w:rStyle w:val="aa"/>
                  <w:sz w:val="20"/>
                  <w:highlight w:val="green"/>
                </w:rPr>
                <w:t>R1-1907909</w:t>
              </w:r>
            </w:hyperlink>
            <w:r>
              <w:rPr>
                <w:sz w:val="20"/>
              </w:rPr>
              <w:t>.</w:t>
            </w:r>
          </w:p>
        </w:tc>
      </w:tr>
    </w:tbl>
    <w:p w:rsidR="00777C4F" w:rsidRDefault="003E5CB9">
      <w:pPr>
        <w:snapToGrid w:val="0"/>
        <w:spacing w:before="240" w:afterLines="50" w:after="120"/>
        <w:rPr>
          <w:sz w:val="20"/>
        </w:rPr>
      </w:pPr>
      <w:r>
        <w:rPr>
          <w:rFonts w:hint="eastAsia"/>
          <w:sz w:val="20"/>
        </w:rPr>
        <w:t xml:space="preserve">In this contribution, we will further discuss the details of </w:t>
      </w:r>
      <w:r>
        <w:rPr>
          <w:sz w:val="20"/>
        </w:rPr>
        <w:t>DCI-based activation/deactivation</w:t>
      </w:r>
      <w:r>
        <w:rPr>
          <w:rFonts w:hint="eastAsia"/>
          <w:sz w:val="20"/>
        </w:rPr>
        <w:t>.</w:t>
      </w:r>
    </w:p>
    <w:p w:rsidR="00777C4F" w:rsidRDefault="003E5CB9">
      <w:pPr>
        <w:pStyle w:val="1"/>
        <w:spacing w:before="156"/>
        <w:ind w:left="0"/>
      </w:pPr>
      <w:r>
        <w:rPr>
          <w:rFonts w:hint="eastAsia"/>
        </w:rPr>
        <w:t>Discussion</w:t>
      </w:r>
    </w:p>
    <w:p w:rsidR="00777C4F" w:rsidRDefault="003E5CB9">
      <w:pPr>
        <w:snapToGrid w:val="0"/>
        <w:spacing w:afterLines="50" w:after="120"/>
        <w:rPr>
          <w:sz w:val="20"/>
        </w:rPr>
      </w:pPr>
      <w:r>
        <w:rPr>
          <w:sz w:val="20"/>
        </w:rPr>
        <w:t>As the numerology (or SCS) of NR Uu on which the DCI for LTE sidelink communication may be different with LTE sidelink carrier, the support of cross-carrier scheduling with different SCSs should be considered for NR UE and for the new DCI. When NR Uu schedules LTE sidelink mode 3, the details for the timing between DCI and SL transmission in LTE mode 3 should be further studied. In LTE V2X, a fixed timing</w:t>
      </w:r>
      <w:r>
        <w:rPr>
          <w:rFonts w:hint="eastAsia"/>
          <w:sz w:val="20"/>
        </w:rPr>
        <w:t xml:space="preserve"> rule</w:t>
      </w:r>
      <w:r>
        <w:rPr>
          <w:sz w:val="20"/>
        </w:rPr>
        <w:t xml:space="preserve"> between SL grant DCI and the first SPS transmission on sidelink is supported, i.e., the time gap should be no less than four subframes, this could be a starting-point for NR controlling mode 3 if DCI-based activation/deactivation is supported</w:t>
      </w:r>
      <w:r>
        <w:rPr>
          <w:rFonts w:hint="eastAsia"/>
          <w:sz w:val="20"/>
        </w:rPr>
        <w:t>. At RAN1#97 meeting, it is agreed that a</w:t>
      </w:r>
      <w:r>
        <w:rPr>
          <w:sz w:val="20"/>
        </w:rPr>
        <w:t>ctivation/deactivation applies to the first LTE subframe after Z+X ms after receiving the DC</w:t>
      </w:r>
      <w:r>
        <w:rPr>
          <w:rFonts w:hint="eastAsia"/>
          <w:sz w:val="20"/>
        </w:rPr>
        <w:t xml:space="preserve">I, here Z </w:t>
      </w:r>
      <w:r>
        <w:rPr>
          <w:sz w:val="20"/>
        </w:rPr>
        <w:t>is the same timing offset in current LTE V2X</w:t>
      </w:r>
      <w:r>
        <w:rPr>
          <w:rFonts w:hint="eastAsia"/>
          <w:sz w:val="20"/>
        </w:rPr>
        <w:t>, and for the value of X, we prefer only one value for X is specified in release 16 with the following reasons:</w:t>
      </w:r>
    </w:p>
    <w:p w:rsidR="00777C4F" w:rsidRDefault="003E5CB9">
      <w:pPr>
        <w:snapToGrid w:val="0"/>
        <w:spacing w:afterLines="50" w:after="120"/>
        <w:rPr>
          <w:sz w:val="20"/>
        </w:rPr>
      </w:pPr>
      <w:r>
        <w:rPr>
          <w:rFonts w:hint="eastAsia"/>
          <w:sz w:val="20"/>
        </w:rPr>
        <w:t>1</w:t>
      </w:r>
      <w:r>
        <w:rPr>
          <w:rFonts w:hint="eastAsia"/>
          <w:sz w:val="20"/>
          <w:vertAlign w:val="superscript"/>
        </w:rPr>
        <w:t>st</w:t>
      </w:r>
      <w:r>
        <w:rPr>
          <w:rFonts w:hint="eastAsia"/>
          <w:sz w:val="20"/>
        </w:rPr>
        <w:t>, the value of X should be considered when a gNB actives or release a LTE SPS grant, and it is easy for gNB to schedule resources for a LTE SPS services with one fixed X value specified.</w:t>
      </w:r>
    </w:p>
    <w:p w:rsidR="00777C4F" w:rsidRDefault="003E5CB9">
      <w:pPr>
        <w:snapToGrid w:val="0"/>
        <w:spacing w:afterLines="50" w:after="120"/>
        <w:rPr>
          <w:sz w:val="20"/>
        </w:rPr>
      </w:pPr>
      <w:r>
        <w:rPr>
          <w:rFonts w:hint="eastAsia"/>
          <w:sz w:val="20"/>
        </w:rPr>
        <w:lastRenderedPageBreak/>
        <w:t>2</w:t>
      </w:r>
      <w:r>
        <w:rPr>
          <w:rFonts w:hint="eastAsia"/>
          <w:sz w:val="20"/>
          <w:vertAlign w:val="superscript"/>
        </w:rPr>
        <w:t>nd</w:t>
      </w:r>
      <w:r>
        <w:rPr>
          <w:rFonts w:hint="eastAsia"/>
          <w:sz w:val="20"/>
        </w:rPr>
        <w:t xml:space="preserve">, X, from our point of view, is count for </w:t>
      </w:r>
      <w:r>
        <w:rPr>
          <w:sz w:val="20"/>
        </w:rPr>
        <w:t>the coordination latency between NR and LTE modules</w:t>
      </w:r>
      <w:r>
        <w:rPr>
          <w:rFonts w:hint="eastAsia"/>
          <w:sz w:val="20"/>
        </w:rPr>
        <w:t xml:space="preserve">, although different UE may have different capability about this </w:t>
      </w:r>
      <w:r>
        <w:rPr>
          <w:sz w:val="20"/>
        </w:rPr>
        <w:t>coordination latency</w:t>
      </w:r>
      <w:r>
        <w:rPr>
          <w:rFonts w:hint="eastAsia"/>
          <w:sz w:val="20"/>
        </w:rPr>
        <w:t xml:space="preserve">, just one value, count for the lowest UE capability requirement, specified in Rel-16 is sufficient. </w:t>
      </w:r>
    </w:p>
    <w:p w:rsidR="00777C4F" w:rsidRDefault="003E5CB9">
      <w:pPr>
        <w:pStyle w:val="YJ-Proposal"/>
        <w:rPr>
          <w:rFonts w:eastAsia="宋体"/>
          <w:lang w:val="en-US" w:eastAsia="zh-CN"/>
        </w:rPr>
      </w:pPr>
      <w:bookmarkStart w:id="0" w:name="_Toc10840"/>
      <w:bookmarkStart w:id="1" w:name="_Toc21012"/>
      <w:r>
        <w:rPr>
          <w:rFonts w:hint="eastAsia"/>
          <w:lang w:val="en-US" w:eastAsia="zh-CN"/>
        </w:rPr>
        <w:t>Only one value for X is specified in release 16</w:t>
      </w:r>
      <w:r>
        <w:rPr>
          <w:lang w:val="en-US" w:eastAsia="zh-CN"/>
        </w:rPr>
        <w:t>.</w:t>
      </w:r>
      <w:bookmarkEnd w:id="0"/>
      <w:bookmarkEnd w:id="1"/>
      <w:r>
        <w:rPr>
          <w:rFonts w:hint="eastAsia"/>
          <w:lang w:val="en-US" w:eastAsia="zh-CN"/>
        </w:rPr>
        <w:t xml:space="preserve"> </w:t>
      </w:r>
    </w:p>
    <w:p w:rsidR="00777C4F" w:rsidRDefault="003E5CB9">
      <w:pPr>
        <w:rPr>
          <w:sz w:val="20"/>
        </w:rPr>
      </w:pPr>
      <w:r>
        <w:rPr>
          <w:rFonts w:hint="eastAsia"/>
          <w:sz w:val="20"/>
        </w:rPr>
        <w:t xml:space="preserve">For </w:t>
      </w:r>
      <w:r>
        <w:rPr>
          <w:sz w:val="20"/>
        </w:rPr>
        <w:t>the design of the DCI format for NR controlling mode 3</w:t>
      </w:r>
      <w:r>
        <w:rPr>
          <w:rFonts w:hint="eastAsia"/>
          <w:sz w:val="20"/>
        </w:rPr>
        <w:t>, same</w:t>
      </w:r>
      <w:r>
        <w:rPr>
          <w:sz w:val="20"/>
        </w:rPr>
        <w:t xml:space="preserve"> format </w:t>
      </w:r>
      <w:r>
        <w:rPr>
          <w:rFonts w:hint="eastAsia"/>
          <w:sz w:val="20"/>
        </w:rPr>
        <w:t>can be reused</w:t>
      </w:r>
      <w:r>
        <w:rPr>
          <w:sz w:val="20"/>
        </w:rPr>
        <w:t xml:space="preserve"> as the DCI format that will be defined for NR V2</w:t>
      </w:r>
      <w:r>
        <w:rPr>
          <w:rFonts w:hint="eastAsia"/>
          <w:sz w:val="20"/>
        </w:rPr>
        <w:t>X configured grant type 2,</w:t>
      </w:r>
      <w:r>
        <w:rPr>
          <w:sz w:val="20"/>
        </w:rPr>
        <w:t xml:space="preserve"> e.g., one approach could be that a common DCI format was designed for both NR sidelink mode 1 and NR controlling LTE sidelink mode 3 and with one bit in the DCI content to indicate which </w:t>
      </w:r>
      <w:r>
        <w:rPr>
          <w:rFonts w:hint="eastAsia"/>
          <w:sz w:val="20"/>
        </w:rPr>
        <w:t>RAT</w:t>
      </w:r>
      <w:r>
        <w:rPr>
          <w:sz w:val="20"/>
        </w:rPr>
        <w:t xml:space="preserve"> th</w:t>
      </w:r>
      <w:r>
        <w:rPr>
          <w:rFonts w:hint="eastAsia"/>
          <w:sz w:val="20"/>
        </w:rPr>
        <w:t>is</w:t>
      </w:r>
      <w:r>
        <w:rPr>
          <w:sz w:val="20"/>
        </w:rPr>
        <w:t xml:space="preserve"> scheduling targets. This kind of approach has limited impact to the specification</w:t>
      </w:r>
      <w:r>
        <w:rPr>
          <w:rFonts w:hint="eastAsia"/>
          <w:sz w:val="20"/>
        </w:rPr>
        <w:t>,</w:t>
      </w:r>
      <w:r>
        <w:rPr>
          <w:sz w:val="20"/>
        </w:rPr>
        <w:t xml:space="preserve"> and </w:t>
      </w:r>
      <w:r>
        <w:rPr>
          <w:rFonts w:hint="eastAsia"/>
          <w:sz w:val="20"/>
        </w:rPr>
        <w:t xml:space="preserve">with the same RNTI for the </w:t>
      </w:r>
      <w:r>
        <w:rPr>
          <w:sz w:val="20"/>
        </w:rPr>
        <w:t>common DCI format</w:t>
      </w:r>
      <w:r>
        <w:rPr>
          <w:rFonts w:hint="eastAsia"/>
          <w:sz w:val="20"/>
        </w:rPr>
        <w:t xml:space="preserve"> for both RATs </w:t>
      </w:r>
      <w:r>
        <w:rPr>
          <w:sz w:val="20"/>
        </w:rPr>
        <w:t>can also minimize the effort of UE blind decoding.</w:t>
      </w:r>
    </w:p>
    <w:bookmarkStart w:id="2" w:name="_Toc26530"/>
    <w:p w:rsidR="00777C4F" w:rsidRDefault="003E5CB9">
      <w:pPr>
        <w:pStyle w:val="YJ-Proposal"/>
        <w:rPr>
          <w:rFonts w:eastAsia="宋体"/>
          <w:lang w:val="en-US" w:eastAsia="zh-CN"/>
        </w:rPr>
      </w:pPr>
      <w:r>
        <w:rPr>
          <w:lang w:val="en-US" w:eastAsia="zh-CN"/>
        </w:rPr>
        <w:fldChar w:fldCharType="begin"/>
      </w:r>
      <w:r>
        <w:rPr>
          <w:lang w:val="en-US" w:eastAsia="zh-CN"/>
        </w:rPr>
        <w:instrText xml:space="preserve"> HYPERLINK \l _Toc11604 </w:instrText>
      </w:r>
      <w:r>
        <w:rPr>
          <w:lang w:val="en-US" w:eastAsia="zh-CN"/>
        </w:rPr>
        <w:fldChar w:fldCharType="separate"/>
      </w:r>
      <w:r>
        <w:rPr>
          <w:lang w:val="en-US" w:eastAsia="zh-CN"/>
        </w:rPr>
        <w:t>T</w:t>
      </w:r>
      <w:r>
        <w:rPr>
          <w:lang w:val="en-US" w:eastAsia="zh-CN"/>
        </w:rPr>
        <w:fldChar w:fldCharType="end"/>
      </w:r>
      <w:r>
        <w:rPr>
          <w:rFonts w:eastAsia="宋体"/>
          <w:lang w:val="en-US" w:eastAsia="zh-CN"/>
        </w:rPr>
        <w:t xml:space="preserve">he DCI format for </w:t>
      </w:r>
      <w:r>
        <w:rPr>
          <w:rFonts w:eastAsia="宋体" w:hint="eastAsia"/>
          <w:lang w:val="en-US" w:eastAsia="zh-CN"/>
        </w:rPr>
        <w:t xml:space="preserve">LTE V2X SPS </w:t>
      </w:r>
      <w:r>
        <w:t>activation/deactivation</w:t>
      </w:r>
      <w:r>
        <w:rPr>
          <w:rFonts w:hint="eastAsia"/>
          <w:lang w:val="en-US" w:eastAsia="zh-CN"/>
        </w:rPr>
        <w:t xml:space="preserve"> via NR Uu sh</w:t>
      </w:r>
      <w:r>
        <w:rPr>
          <w:rFonts w:eastAsia="宋体"/>
          <w:lang w:val="en-US" w:eastAsia="zh-CN"/>
        </w:rPr>
        <w:t xml:space="preserve">ould share a common DCI format with </w:t>
      </w:r>
      <w:r>
        <w:rPr>
          <w:lang w:val="en-US" w:eastAsia="zh-CN"/>
        </w:rPr>
        <w:t xml:space="preserve">NR Uu </w:t>
      </w:r>
      <w:r>
        <w:rPr>
          <w:rFonts w:hint="eastAsia"/>
          <w:lang w:val="en-US" w:eastAsia="zh-CN"/>
        </w:rPr>
        <w:t>configured-grant Type 2.</w:t>
      </w:r>
      <w:bookmarkEnd w:id="2"/>
    </w:p>
    <w:p w:rsidR="00777C4F" w:rsidRDefault="00777C4F">
      <w:pPr>
        <w:rPr>
          <w:sz w:val="20"/>
          <w:highlight w:val="yellow"/>
        </w:rPr>
      </w:pPr>
    </w:p>
    <w:p w:rsidR="00777C4F" w:rsidRDefault="003E5CB9">
      <w:pPr>
        <w:pStyle w:val="1"/>
        <w:spacing w:before="156"/>
        <w:ind w:left="0"/>
        <w:rPr>
          <w:rFonts w:eastAsia="宋体"/>
        </w:rPr>
      </w:pPr>
      <w:r>
        <w:rPr>
          <w:rFonts w:eastAsia="宋体" w:hint="eastAsia"/>
        </w:rPr>
        <w:t>Conclusion</w:t>
      </w:r>
    </w:p>
    <w:p w:rsidR="00777C4F" w:rsidRDefault="003E5CB9">
      <w:pPr>
        <w:snapToGrid w:val="0"/>
        <w:spacing w:before="156"/>
        <w:rPr>
          <w:szCs w:val="22"/>
        </w:rPr>
      </w:pPr>
      <w:r>
        <w:rPr>
          <w:rFonts w:cs="Arial"/>
          <w:sz w:val="20"/>
        </w:rPr>
        <w:t>T</w:t>
      </w:r>
      <w:r>
        <w:rPr>
          <w:rFonts w:cs="Arial" w:hint="eastAsia"/>
          <w:sz w:val="20"/>
        </w:rPr>
        <w:t xml:space="preserve">his </w:t>
      </w:r>
      <w:r>
        <w:rPr>
          <w:rFonts w:eastAsiaTheme="minorEastAsia" w:cs="Arial" w:hint="eastAsia"/>
          <w:sz w:val="20"/>
        </w:rPr>
        <w:t>paper</w:t>
      </w:r>
      <w:r>
        <w:rPr>
          <w:rFonts w:cs="Arial" w:hint="eastAsia"/>
          <w:sz w:val="20"/>
        </w:rPr>
        <w:t xml:space="preserve"> concludes with </w:t>
      </w:r>
      <w:r>
        <w:rPr>
          <w:rFonts w:eastAsiaTheme="minorEastAsia" w:cs="Arial" w:hint="eastAsia"/>
          <w:sz w:val="20"/>
        </w:rPr>
        <w:t>t</w:t>
      </w:r>
      <w:r>
        <w:rPr>
          <w:rFonts w:cs="Arial" w:hint="eastAsia"/>
          <w:sz w:val="20"/>
        </w:rPr>
        <w:t>he following observations and proposals</w:t>
      </w:r>
      <w:r>
        <w:rPr>
          <w:rFonts w:cs="Arial" w:hint="eastAsia"/>
        </w:rPr>
        <w:t>.</w:t>
      </w:r>
    </w:p>
    <w:p w:rsidR="00777C4F" w:rsidRDefault="003E5CB9">
      <w:pPr>
        <w:pStyle w:val="10"/>
        <w:tabs>
          <w:tab w:val="right" w:leader="dot" w:pos="9660"/>
        </w:tabs>
      </w:pPr>
      <w:r>
        <w:fldChar w:fldCharType="begin"/>
      </w:r>
      <w:r>
        <w:instrText>TOC \n  \t "YJ-Proposal,1,sub-proposal,2" \h</w:instrText>
      </w:r>
      <w:r>
        <w:fldChar w:fldCharType="separate"/>
      </w:r>
      <w:hyperlink w:anchor="_Toc21012" w:history="1">
        <w:r>
          <w:rPr>
            <w:rFonts w:eastAsia="宋体"/>
            <w:bCs/>
            <w:iCs/>
          </w:rPr>
          <w:t xml:space="preserve">Proposal 1: </w:t>
        </w:r>
        <w:r>
          <w:rPr>
            <w:rFonts w:hint="eastAsia"/>
          </w:rPr>
          <w:t>Only one value for X is specified in release 16</w:t>
        </w:r>
        <w:r>
          <w:t>.</w:t>
        </w:r>
      </w:hyperlink>
    </w:p>
    <w:p w:rsidR="00777C4F" w:rsidRDefault="003E5CB9">
      <w:pPr>
        <w:pStyle w:val="10"/>
        <w:tabs>
          <w:tab w:val="right" w:leader="dot" w:pos="9660"/>
        </w:tabs>
      </w:pPr>
      <w:hyperlink w:anchor="_Toc26530" w:history="1">
        <w:r>
          <w:rPr>
            <w:rFonts w:eastAsia="宋体"/>
            <w:bCs/>
            <w:iCs/>
          </w:rPr>
          <w:t xml:space="preserve">Proposal 2: </w:t>
        </w:r>
        <w:r>
          <w:t>T</w:t>
        </w:r>
        <w:r>
          <w:rPr>
            <w:rFonts w:eastAsia="宋体"/>
          </w:rPr>
          <w:t xml:space="preserve">he DCI format for </w:t>
        </w:r>
        <w:r>
          <w:rPr>
            <w:rFonts w:eastAsia="宋体" w:hint="eastAsia"/>
          </w:rPr>
          <w:t xml:space="preserve">LTE V2X SPS </w:t>
        </w:r>
        <w:r>
          <w:t>activation/deactivation</w:t>
        </w:r>
        <w:r>
          <w:rPr>
            <w:rFonts w:hint="eastAsia"/>
          </w:rPr>
          <w:t xml:space="preserve"> via NR Uu sh</w:t>
        </w:r>
        <w:r>
          <w:rPr>
            <w:rFonts w:eastAsia="宋体"/>
          </w:rPr>
          <w:t xml:space="preserve">ould share a common DCI format with </w:t>
        </w:r>
        <w:r>
          <w:t xml:space="preserve">NR Uu </w:t>
        </w:r>
        <w:bookmarkStart w:id="3" w:name="_GoBack"/>
        <w:bookmarkEnd w:id="3"/>
        <w:r>
          <w:rPr>
            <w:rFonts w:hint="eastAsia"/>
          </w:rPr>
          <w:t>configured-grant Type 2.</w:t>
        </w:r>
      </w:hyperlink>
    </w:p>
    <w:p w:rsidR="00777C4F" w:rsidRDefault="003E5CB9">
      <w:pPr>
        <w:snapToGrid w:val="0"/>
        <w:spacing w:before="156"/>
      </w:pPr>
      <w:r>
        <w:fldChar w:fldCharType="end"/>
      </w:r>
    </w:p>
    <w:p w:rsidR="00777C4F" w:rsidRDefault="003E5CB9">
      <w:pPr>
        <w:pStyle w:val="1"/>
        <w:spacing w:before="156"/>
        <w:ind w:left="0"/>
        <w:rPr>
          <w:rFonts w:eastAsia="宋体"/>
        </w:rPr>
      </w:pPr>
      <w:r>
        <w:rPr>
          <w:rFonts w:eastAsia="宋体" w:hint="eastAsia"/>
        </w:rPr>
        <w:t>Reference</w:t>
      </w:r>
      <w:r>
        <w:rPr>
          <w:rFonts w:eastAsia="宋体"/>
        </w:rPr>
        <w:t>s</w:t>
      </w:r>
    </w:p>
    <w:p w:rsidR="00777C4F" w:rsidRDefault="003E5CB9">
      <w:pPr>
        <w:widowControl w:val="0"/>
        <w:numPr>
          <w:ilvl w:val="0"/>
          <w:numId w:val="7"/>
        </w:numPr>
        <w:snapToGrid w:val="0"/>
        <w:spacing w:after="0"/>
        <w:rPr>
          <w:lang w:eastAsia="ja-JP"/>
        </w:rPr>
      </w:pPr>
      <w:bookmarkStart w:id="4" w:name="_Ref17466"/>
      <w:bookmarkStart w:id="5" w:name="_Ref10683"/>
      <w:r>
        <w:rPr>
          <w:sz w:val="20"/>
          <w:lang w:eastAsia="ja-JP"/>
        </w:rPr>
        <w:t xml:space="preserve">Chairman's Notes RAN1 </w:t>
      </w:r>
      <w:r>
        <w:rPr>
          <w:sz w:val="20"/>
        </w:rPr>
        <w:t>#9</w:t>
      </w:r>
      <w:r>
        <w:rPr>
          <w:rFonts w:hint="eastAsia"/>
          <w:sz w:val="20"/>
        </w:rPr>
        <w:t>7</w:t>
      </w:r>
      <w:r>
        <w:rPr>
          <w:sz w:val="20"/>
        </w:rPr>
        <w:t xml:space="preserve">, </w:t>
      </w:r>
      <w:r>
        <w:rPr>
          <w:rFonts w:hint="eastAsia"/>
          <w:sz w:val="20"/>
        </w:rPr>
        <w:t>May</w:t>
      </w:r>
      <w:r>
        <w:rPr>
          <w:sz w:val="20"/>
        </w:rPr>
        <w:t xml:space="preserve"> </w:t>
      </w:r>
      <w:r>
        <w:rPr>
          <w:rFonts w:hint="eastAsia"/>
          <w:sz w:val="20"/>
        </w:rPr>
        <w:t>13</w:t>
      </w:r>
      <w:r>
        <w:rPr>
          <w:sz w:val="20"/>
        </w:rPr>
        <w:t xml:space="preserve">th </w:t>
      </w:r>
      <w:r>
        <w:rPr>
          <w:sz w:val="20"/>
          <w:lang w:eastAsia="ja-JP"/>
        </w:rPr>
        <w:t>-</w:t>
      </w:r>
      <w:r>
        <w:rPr>
          <w:sz w:val="20"/>
        </w:rPr>
        <w:t>1</w:t>
      </w:r>
      <w:r>
        <w:rPr>
          <w:rFonts w:hint="eastAsia"/>
          <w:sz w:val="20"/>
        </w:rPr>
        <w:t>7</w:t>
      </w:r>
      <w:r>
        <w:rPr>
          <w:sz w:val="20"/>
          <w:lang w:eastAsia="ja-JP"/>
        </w:rPr>
        <w:t>th, 20</w:t>
      </w:r>
      <w:r>
        <w:rPr>
          <w:sz w:val="20"/>
        </w:rPr>
        <w:t>19</w:t>
      </w:r>
      <w:bookmarkEnd w:id="4"/>
      <w:bookmarkEnd w:id="5"/>
    </w:p>
    <w:p w:rsidR="00777C4F" w:rsidRDefault="00777C4F">
      <w:pPr>
        <w:jc w:val="left"/>
      </w:pPr>
    </w:p>
    <w:sectPr w:rsidR="00777C4F">
      <w:footerReference w:type="default" r:id="rId10"/>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5075" w:rsidRDefault="00265075">
      <w:pPr>
        <w:spacing w:after="0" w:line="240" w:lineRule="auto"/>
      </w:pPr>
      <w:r>
        <w:separator/>
      </w:r>
    </w:p>
  </w:endnote>
  <w:endnote w:type="continuationSeparator" w:id="0">
    <w:p w:rsidR="00265075" w:rsidRDefault="002650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icrosoft YaHei UI">
    <w:panose1 w:val="020B0503020204020204"/>
    <w:charset w:val="86"/>
    <w:family w:val="swiss"/>
    <w:pitch w:val="variable"/>
    <w:sig w:usb0="80000287" w:usb1="28CF3C52" w:usb2="00000016" w:usb3="00000000" w:csb0="0004001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7C4F" w:rsidRDefault="003E5CB9">
    <w:pPr>
      <w:pStyle w:val="a7"/>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777C4F" w:rsidRDefault="003E5CB9">
                          <w:pPr>
                            <w:pStyle w:val="a7"/>
                          </w:pPr>
                          <w:r>
                            <w:rPr>
                              <w:rFonts w:hint="eastAsia"/>
                            </w:rPr>
                            <w:fldChar w:fldCharType="begin"/>
                          </w:r>
                          <w:r>
                            <w:rPr>
                              <w:rFonts w:hint="eastAsia"/>
                            </w:rPr>
                            <w:instrText xml:space="preserve"> PAGE  \* MERGEFORMAT </w:instrText>
                          </w:r>
                          <w:r>
                            <w:rPr>
                              <w:rFonts w:hint="eastAsia"/>
                            </w:rPr>
                            <w:fldChar w:fldCharType="separate"/>
                          </w:r>
                          <w:r w:rsidR="00780284">
                            <w:rPr>
                              <w:noProof/>
                            </w:rP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777C4F" w:rsidRDefault="003E5CB9">
                    <w:pPr>
                      <w:pStyle w:val="a7"/>
                    </w:pPr>
                    <w:r>
                      <w:rPr>
                        <w:rFonts w:hint="eastAsia"/>
                      </w:rPr>
                      <w:fldChar w:fldCharType="begin"/>
                    </w:r>
                    <w:r>
                      <w:rPr>
                        <w:rFonts w:hint="eastAsia"/>
                      </w:rPr>
                      <w:instrText xml:space="preserve"> PAGE  \* MERGEFORMAT </w:instrText>
                    </w:r>
                    <w:r>
                      <w:rPr>
                        <w:rFonts w:hint="eastAsia"/>
                      </w:rPr>
                      <w:fldChar w:fldCharType="separate"/>
                    </w:r>
                    <w:r w:rsidR="00780284">
                      <w:rPr>
                        <w:noProof/>
                      </w:rPr>
                      <w:t>2</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5075" w:rsidRDefault="00265075">
      <w:pPr>
        <w:spacing w:after="0" w:line="240" w:lineRule="auto"/>
      </w:pPr>
      <w:r>
        <w:separator/>
      </w:r>
    </w:p>
  </w:footnote>
  <w:footnote w:type="continuationSeparator" w:id="0">
    <w:p w:rsidR="00265075" w:rsidRDefault="0026507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F924619"/>
    <w:multiLevelType w:val="singleLevel"/>
    <w:tmpl w:val="9F924619"/>
    <w:lvl w:ilvl="0">
      <w:start w:val="1"/>
      <w:numFmt w:val="decimal"/>
      <w:pStyle w:val="YJ-Observation"/>
      <w:lvlText w:val="Observation %1: "/>
      <w:lvlJc w:val="left"/>
      <w:pPr>
        <w:tabs>
          <w:tab w:val="left" w:pos="0"/>
        </w:tabs>
        <w:ind w:left="0" w:firstLine="0"/>
      </w:pPr>
      <w:rPr>
        <w:rFonts w:ascii="Times New Roman" w:eastAsia="宋体" w:hAnsi="Times New Roman" w:cs="仿宋" w:hint="default"/>
        <w:b/>
        <w:bCs/>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03D99E35"/>
    <w:multiLevelType w:val="multilevel"/>
    <w:tmpl w:val="03D99E35"/>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15:restartNumberingAfterBreak="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76032A93"/>
    <w:multiLevelType w:val="multilevel"/>
    <w:tmpl w:val="76032A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5"/>
  </w:num>
  <w:num w:numId="4">
    <w:abstractNumId w:val="0"/>
  </w:num>
  <w:num w:numId="5">
    <w:abstractNumId w:val="1"/>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61F8D"/>
    <w:rsid w:val="000E3435"/>
    <w:rsid w:val="00172A27"/>
    <w:rsid w:val="002500C8"/>
    <w:rsid w:val="00265075"/>
    <w:rsid w:val="002925E1"/>
    <w:rsid w:val="00327C42"/>
    <w:rsid w:val="003B0BAD"/>
    <w:rsid w:val="003E5CB9"/>
    <w:rsid w:val="0043111B"/>
    <w:rsid w:val="0074701C"/>
    <w:rsid w:val="00777C4F"/>
    <w:rsid w:val="00780284"/>
    <w:rsid w:val="00814195"/>
    <w:rsid w:val="008B75FF"/>
    <w:rsid w:val="009547E7"/>
    <w:rsid w:val="00AF4886"/>
    <w:rsid w:val="00C1352C"/>
    <w:rsid w:val="00C2504F"/>
    <w:rsid w:val="00C5282A"/>
    <w:rsid w:val="00C870F1"/>
    <w:rsid w:val="00E412CC"/>
    <w:rsid w:val="00E476EC"/>
    <w:rsid w:val="00EF055E"/>
    <w:rsid w:val="00FB0FEC"/>
    <w:rsid w:val="01A14912"/>
    <w:rsid w:val="01C3693D"/>
    <w:rsid w:val="024D6B6A"/>
    <w:rsid w:val="029B04E7"/>
    <w:rsid w:val="02BF5E55"/>
    <w:rsid w:val="02E50E68"/>
    <w:rsid w:val="04860CF4"/>
    <w:rsid w:val="04DC566A"/>
    <w:rsid w:val="04FF4F02"/>
    <w:rsid w:val="05973EB6"/>
    <w:rsid w:val="05E078B3"/>
    <w:rsid w:val="06617B70"/>
    <w:rsid w:val="086550E5"/>
    <w:rsid w:val="08965993"/>
    <w:rsid w:val="0A79689F"/>
    <w:rsid w:val="0B7C2849"/>
    <w:rsid w:val="0B9E71DF"/>
    <w:rsid w:val="0BD836E0"/>
    <w:rsid w:val="0BF93B6F"/>
    <w:rsid w:val="0D725FFB"/>
    <w:rsid w:val="0DB613B5"/>
    <w:rsid w:val="0E694BE8"/>
    <w:rsid w:val="0EBF7F80"/>
    <w:rsid w:val="0EE62BB8"/>
    <w:rsid w:val="0EE75BBD"/>
    <w:rsid w:val="10043215"/>
    <w:rsid w:val="10071099"/>
    <w:rsid w:val="109925AB"/>
    <w:rsid w:val="12630961"/>
    <w:rsid w:val="126F0EE4"/>
    <w:rsid w:val="131E5B1C"/>
    <w:rsid w:val="1387525F"/>
    <w:rsid w:val="14806CB9"/>
    <w:rsid w:val="14DA3DA1"/>
    <w:rsid w:val="15BD6039"/>
    <w:rsid w:val="16832EC2"/>
    <w:rsid w:val="16A313E7"/>
    <w:rsid w:val="172251C7"/>
    <w:rsid w:val="17666C2F"/>
    <w:rsid w:val="1812345F"/>
    <w:rsid w:val="18657668"/>
    <w:rsid w:val="18E46636"/>
    <w:rsid w:val="1A054259"/>
    <w:rsid w:val="1B406870"/>
    <w:rsid w:val="1B7C6B15"/>
    <w:rsid w:val="1B8E1D16"/>
    <w:rsid w:val="1C132CB9"/>
    <w:rsid w:val="1CF942F8"/>
    <w:rsid w:val="1D3D572C"/>
    <w:rsid w:val="1E9D6342"/>
    <w:rsid w:val="1F6F78DE"/>
    <w:rsid w:val="1FC26B53"/>
    <w:rsid w:val="201F2593"/>
    <w:rsid w:val="20A70E10"/>
    <w:rsid w:val="210701B1"/>
    <w:rsid w:val="231C6E5A"/>
    <w:rsid w:val="23426B76"/>
    <w:rsid w:val="238D760D"/>
    <w:rsid w:val="23C3043C"/>
    <w:rsid w:val="25134332"/>
    <w:rsid w:val="255624F3"/>
    <w:rsid w:val="26A972F1"/>
    <w:rsid w:val="27732D78"/>
    <w:rsid w:val="27A303C7"/>
    <w:rsid w:val="29FA7F26"/>
    <w:rsid w:val="2A466C91"/>
    <w:rsid w:val="2A8D2D27"/>
    <w:rsid w:val="2C30087B"/>
    <w:rsid w:val="2D2323AA"/>
    <w:rsid w:val="2E325309"/>
    <w:rsid w:val="2F3F069F"/>
    <w:rsid w:val="2F9F222D"/>
    <w:rsid w:val="30962F3E"/>
    <w:rsid w:val="338C2B99"/>
    <w:rsid w:val="35DB7C02"/>
    <w:rsid w:val="35F54161"/>
    <w:rsid w:val="361F3323"/>
    <w:rsid w:val="36BF601B"/>
    <w:rsid w:val="37453E5F"/>
    <w:rsid w:val="3784394E"/>
    <w:rsid w:val="37944361"/>
    <w:rsid w:val="38203E6D"/>
    <w:rsid w:val="39703F2A"/>
    <w:rsid w:val="397D183D"/>
    <w:rsid w:val="39A601D7"/>
    <w:rsid w:val="3A9D206F"/>
    <w:rsid w:val="3ACB5746"/>
    <w:rsid w:val="3AE77621"/>
    <w:rsid w:val="3B3A6B4A"/>
    <w:rsid w:val="3B6D0FE5"/>
    <w:rsid w:val="3BB53C68"/>
    <w:rsid w:val="3C331631"/>
    <w:rsid w:val="3FC956FF"/>
    <w:rsid w:val="41970E18"/>
    <w:rsid w:val="41F17107"/>
    <w:rsid w:val="41F466FD"/>
    <w:rsid w:val="433352DE"/>
    <w:rsid w:val="440D5045"/>
    <w:rsid w:val="44B834DB"/>
    <w:rsid w:val="460C5979"/>
    <w:rsid w:val="46527260"/>
    <w:rsid w:val="46B03643"/>
    <w:rsid w:val="47793C0E"/>
    <w:rsid w:val="47C01792"/>
    <w:rsid w:val="47D85B4C"/>
    <w:rsid w:val="48F530EF"/>
    <w:rsid w:val="49306DD9"/>
    <w:rsid w:val="4A0C5638"/>
    <w:rsid w:val="4A5D12EB"/>
    <w:rsid w:val="4AB87779"/>
    <w:rsid w:val="4AC31003"/>
    <w:rsid w:val="4AE93159"/>
    <w:rsid w:val="4DAB6FFF"/>
    <w:rsid w:val="4DE87EBF"/>
    <w:rsid w:val="4E27683A"/>
    <w:rsid w:val="4E372DC6"/>
    <w:rsid w:val="50CF0B71"/>
    <w:rsid w:val="50F45E76"/>
    <w:rsid w:val="50FB3B9B"/>
    <w:rsid w:val="51867298"/>
    <w:rsid w:val="519044E6"/>
    <w:rsid w:val="51997644"/>
    <w:rsid w:val="51D42C95"/>
    <w:rsid w:val="525C069F"/>
    <w:rsid w:val="52F14FE6"/>
    <w:rsid w:val="53DB3477"/>
    <w:rsid w:val="545D4D49"/>
    <w:rsid w:val="546B2714"/>
    <w:rsid w:val="548F7CB8"/>
    <w:rsid w:val="564E7B66"/>
    <w:rsid w:val="574C0B2A"/>
    <w:rsid w:val="58500F22"/>
    <w:rsid w:val="58560504"/>
    <w:rsid w:val="587806F6"/>
    <w:rsid w:val="595C3A36"/>
    <w:rsid w:val="5AA6721E"/>
    <w:rsid w:val="5AD0686D"/>
    <w:rsid w:val="5AE94460"/>
    <w:rsid w:val="5AED6098"/>
    <w:rsid w:val="5B555057"/>
    <w:rsid w:val="5BE03E3E"/>
    <w:rsid w:val="5DB87A1B"/>
    <w:rsid w:val="5DBC7BC7"/>
    <w:rsid w:val="5DE50584"/>
    <w:rsid w:val="5DFD51DB"/>
    <w:rsid w:val="5E2216CA"/>
    <w:rsid w:val="5EA20EBB"/>
    <w:rsid w:val="5EAE0DBC"/>
    <w:rsid w:val="5F280CDE"/>
    <w:rsid w:val="607C3753"/>
    <w:rsid w:val="60940A61"/>
    <w:rsid w:val="60C30855"/>
    <w:rsid w:val="60E231FB"/>
    <w:rsid w:val="61207BB8"/>
    <w:rsid w:val="61421EFD"/>
    <w:rsid w:val="61494DAC"/>
    <w:rsid w:val="615C5041"/>
    <w:rsid w:val="61820DB5"/>
    <w:rsid w:val="61DB7701"/>
    <w:rsid w:val="63A77DB1"/>
    <w:rsid w:val="641F5BA6"/>
    <w:rsid w:val="64947904"/>
    <w:rsid w:val="652952CA"/>
    <w:rsid w:val="65815F24"/>
    <w:rsid w:val="65BE6BDD"/>
    <w:rsid w:val="662F3601"/>
    <w:rsid w:val="664805B8"/>
    <w:rsid w:val="69DB2829"/>
    <w:rsid w:val="6A2A735F"/>
    <w:rsid w:val="6A5467B5"/>
    <w:rsid w:val="6A85085C"/>
    <w:rsid w:val="6B41049D"/>
    <w:rsid w:val="6BC3502F"/>
    <w:rsid w:val="6C89456C"/>
    <w:rsid w:val="6D842E56"/>
    <w:rsid w:val="6DB4251C"/>
    <w:rsid w:val="6E0A2967"/>
    <w:rsid w:val="6EF142C8"/>
    <w:rsid w:val="6F5E3CA2"/>
    <w:rsid w:val="6FA629D4"/>
    <w:rsid w:val="6FB07284"/>
    <w:rsid w:val="70712BE2"/>
    <w:rsid w:val="71143C18"/>
    <w:rsid w:val="71D847A1"/>
    <w:rsid w:val="731014BE"/>
    <w:rsid w:val="731C0EDA"/>
    <w:rsid w:val="73814380"/>
    <w:rsid w:val="743F53F1"/>
    <w:rsid w:val="75E06643"/>
    <w:rsid w:val="76F9256C"/>
    <w:rsid w:val="77641322"/>
    <w:rsid w:val="79184AEB"/>
    <w:rsid w:val="79205D36"/>
    <w:rsid w:val="79B65F5A"/>
    <w:rsid w:val="79C821C7"/>
    <w:rsid w:val="7B123892"/>
    <w:rsid w:val="7BE11005"/>
    <w:rsid w:val="7C26369C"/>
    <w:rsid w:val="7D255DA5"/>
    <w:rsid w:val="7D62117D"/>
    <w:rsid w:val="7E2F5419"/>
    <w:rsid w:val="7E3E1EF2"/>
    <w:rsid w:val="7EEB4939"/>
    <w:rsid w:val="7EF74FC9"/>
    <w:rsid w:val="7F313E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C44A889-28A1-4996-8B32-D62E4AA16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0" w:qFormat="1"/>
    <w:lsdException w:name="footer" w:semiHidden="1"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jc w:val="both"/>
    </w:pPr>
    <w:rPr>
      <w:rFonts w:ascii="Times New Roman" w:eastAsia="宋体" w:hAnsi="Times New Roman" w:cs="Times New Roman"/>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
    <w:name w:val="heading 3"/>
    <w:basedOn w:val="2"/>
    <w:next w:val="a"/>
    <w:qFormat/>
    <w:pPr>
      <w:numPr>
        <w:ilvl w:val="2"/>
      </w:num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b/>
      <w:bCs/>
    </w:rPr>
  </w:style>
  <w:style w:type="paragraph" w:styleId="a4">
    <w:name w:val="annotation text"/>
    <w:basedOn w:val="a"/>
    <w:link w:val="Char"/>
    <w:uiPriority w:val="99"/>
    <w:semiHidden/>
    <w:unhideWhenUsed/>
    <w:qFormat/>
    <w:pPr>
      <w:jc w:val="left"/>
    </w:pPr>
  </w:style>
  <w:style w:type="paragraph" w:styleId="a5">
    <w:name w:val="Body Text"/>
    <w:basedOn w:val="a"/>
    <w:qFormat/>
    <w:rPr>
      <w:rFonts w:eastAsia="MS Mincho"/>
    </w:rPr>
  </w:style>
  <w:style w:type="paragraph" w:styleId="a6">
    <w:name w:val="Balloon Text"/>
    <w:basedOn w:val="a"/>
    <w:link w:val="Char0"/>
    <w:uiPriority w:val="99"/>
    <w:semiHidden/>
    <w:unhideWhenUsed/>
    <w:qFormat/>
    <w:pPr>
      <w:spacing w:after="0" w:line="240" w:lineRule="auto"/>
    </w:pPr>
    <w:rPr>
      <w:rFonts w:ascii="Microsoft YaHei UI" w:eastAsia="Microsoft YaHei UI"/>
      <w:sz w:val="18"/>
      <w:szCs w:val="18"/>
    </w:rPr>
  </w:style>
  <w:style w:type="paragraph" w:styleId="a7">
    <w:name w:val="footer"/>
    <w:basedOn w:val="a"/>
    <w:uiPriority w:val="99"/>
    <w:semiHidden/>
    <w:unhideWhenUsed/>
    <w:qFormat/>
    <w:pPr>
      <w:tabs>
        <w:tab w:val="center" w:pos="4153"/>
        <w:tab w:val="right" w:pos="8306"/>
      </w:tabs>
      <w:snapToGrid w:val="0"/>
      <w:jc w:val="left"/>
    </w:pPr>
    <w:rPr>
      <w:sz w:val="18"/>
      <w:szCs w:val="18"/>
    </w:rPr>
  </w:style>
  <w:style w:type="paragraph" w:styleId="10">
    <w:name w:val="toc 1"/>
    <w:basedOn w:val="a"/>
    <w:next w:val="a"/>
    <w:uiPriority w:val="99"/>
    <w:semiHidden/>
    <w:unhideWhenUsed/>
    <w:qFormat/>
    <w:rPr>
      <w:rFonts w:eastAsiaTheme="minorEastAsia"/>
      <w:b/>
      <w:i/>
      <w:sz w:val="20"/>
    </w:rPr>
  </w:style>
  <w:style w:type="paragraph" w:styleId="20">
    <w:name w:val="toc 2"/>
    <w:basedOn w:val="a"/>
    <w:next w:val="a"/>
    <w:uiPriority w:val="99"/>
    <w:semiHidden/>
    <w:unhideWhenUsed/>
    <w:qFormat/>
    <w:pPr>
      <w:ind w:leftChars="200" w:left="420"/>
    </w:pPr>
    <w:rPr>
      <w:b/>
      <w:i/>
      <w:sz w:val="20"/>
    </w:rPr>
  </w:style>
  <w:style w:type="paragraph" w:styleId="a8">
    <w:name w:val="annotation subject"/>
    <w:basedOn w:val="a4"/>
    <w:next w:val="a4"/>
    <w:link w:val="Char1"/>
    <w:uiPriority w:val="99"/>
    <w:semiHidden/>
    <w:unhideWhenUsed/>
    <w:pPr>
      <w:spacing w:line="240" w:lineRule="auto"/>
      <w:jc w:val="both"/>
    </w:pPr>
    <w:rPr>
      <w:b/>
      <w:bCs/>
      <w:sz w:val="20"/>
    </w:rPr>
  </w:style>
  <w:style w:type="table" w:styleId="a9">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qFormat/>
    <w:rPr>
      <w:color w:val="0000FF"/>
      <w:u w:val="single"/>
    </w:rPr>
  </w:style>
  <w:style w:type="character" w:styleId="ab">
    <w:name w:val="Emphasis"/>
    <w:basedOn w:val="a0"/>
    <w:uiPriority w:val="99"/>
    <w:semiHidden/>
    <w:unhideWhenUsed/>
    <w:qFormat/>
    <w:rPr>
      <w:i/>
    </w:rPr>
  </w:style>
  <w:style w:type="character" w:styleId="ac">
    <w:name w:val="Hyperlink"/>
    <w:uiPriority w:val="99"/>
    <w:qFormat/>
    <w:rPr>
      <w:color w:val="0000FF"/>
      <w:u w:val="single"/>
    </w:rPr>
  </w:style>
  <w:style w:type="character" w:styleId="ad">
    <w:name w:val="annotation reference"/>
    <w:basedOn w:val="a0"/>
    <w:uiPriority w:val="99"/>
    <w:semiHidden/>
    <w:unhideWhenUsed/>
    <w:qFormat/>
    <w:rPr>
      <w:sz w:val="16"/>
      <w:szCs w:val="16"/>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References">
    <w:name w:val="References"/>
    <w:basedOn w:val="a"/>
    <w:qFormat/>
    <w:pPr>
      <w:numPr>
        <w:numId w:val="3"/>
      </w:numPr>
      <w:spacing w:after="60"/>
    </w:pPr>
    <w:rPr>
      <w:szCs w:val="16"/>
    </w:rPr>
  </w:style>
  <w:style w:type="paragraph" w:customStyle="1" w:styleId="YJ-Observation">
    <w:name w:val="YJ-Observation"/>
    <w:basedOn w:val="YJ-Proposal"/>
    <w:qFormat/>
    <w:pPr>
      <w:numPr>
        <w:numId w:val="4"/>
      </w:numPr>
      <w:tabs>
        <w:tab w:val="left" w:pos="420"/>
      </w:tabs>
    </w:pPr>
  </w:style>
  <w:style w:type="paragraph" w:styleId="ae">
    <w:name w:val="List Paragraph"/>
    <w:basedOn w:val="a"/>
    <w:uiPriority w:val="34"/>
    <w:qFormat/>
    <w:pPr>
      <w:spacing w:after="0" w:line="240" w:lineRule="auto"/>
      <w:ind w:left="720"/>
      <w:contextualSpacing/>
    </w:pPr>
    <w:rPr>
      <w:rFonts w:eastAsia="Times New Roman"/>
      <w:sz w:val="24"/>
      <w:szCs w:val="24"/>
    </w:rPr>
  </w:style>
  <w:style w:type="paragraph" w:customStyle="1" w:styleId="LGTdoc">
    <w:name w:val="LGTdoc_본문"/>
    <w:basedOn w:val="a"/>
    <w:qFormat/>
    <w:pPr>
      <w:widowControl w:val="0"/>
      <w:autoSpaceDE w:val="0"/>
      <w:autoSpaceDN w:val="0"/>
      <w:adjustRightInd w:val="0"/>
      <w:snapToGrid w:val="0"/>
      <w:spacing w:afterLines="50" w:line="264" w:lineRule="auto"/>
    </w:pPr>
    <w:rPr>
      <w:sz w:val="22"/>
      <w:lang w:eastAsia="ko-KR"/>
    </w:rPr>
  </w:style>
  <w:style w:type="character" w:customStyle="1" w:styleId="Char">
    <w:name w:val="批注文字 Char"/>
    <w:basedOn w:val="a0"/>
    <w:link w:val="a4"/>
    <w:uiPriority w:val="99"/>
    <w:semiHidden/>
    <w:qFormat/>
    <w:rPr>
      <w:rFonts w:eastAsia="宋体"/>
      <w:kern w:val="2"/>
      <w:sz w:val="21"/>
    </w:rPr>
  </w:style>
  <w:style w:type="character" w:customStyle="1" w:styleId="Char1">
    <w:name w:val="批注主题 Char"/>
    <w:basedOn w:val="Char"/>
    <w:link w:val="a8"/>
    <w:uiPriority w:val="99"/>
    <w:semiHidden/>
    <w:qFormat/>
    <w:rPr>
      <w:rFonts w:eastAsia="宋体"/>
      <w:b/>
      <w:bCs/>
      <w:kern w:val="2"/>
      <w:sz w:val="21"/>
    </w:rPr>
  </w:style>
  <w:style w:type="character" w:customStyle="1" w:styleId="Char0">
    <w:name w:val="批注框文本 Char"/>
    <w:basedOn w:val="a0"/>
    <w:link w:val="a6"/>
    <w:uiPriority w:val="99"/>
    <w:semiHidden/>
    <w:qFormat/>
    <w:rPr>
      <w:rFonts w:ascii="Microsoft YaHei UI" w:eastAsia="Microsoft YaHei UI"/>
      <w:kern w:val="2"/>
      <w:sz w:val="18"/>
      <w:szCs w:val="18"/>
    </w:rPr>
  </w:style>
  <w:style w:type="paragraph" w:customStyle="1" w:styleId="sub-observation">
    <w:name w:val="sub-observation"/>
    <w:basedOn w:val="sub-proposal"/>
    <w:next w:val="a"/>
    <w:qFormat/>
  </w:style>
  <w:style w:type="paragraph" w:customStyle="1" w:styleId="sub-proposal">
    <w:name w:val="sub-proposal"/>
    <w:basedOn w:val="YJ-Proposal"/>
    <w:next w:val="a"/>
    <w:qFormat/>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file:///C:\Users\shupeng\Box%20Sync\document\3gpp\ran1\ran1_98\pre\v2x\v3\v4\Docs\R1-1907826.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Users\shupeng\Box%20Sync\document\3gpp\ran1\ran1_98\pre\v2x\v3\v4\Docs\R1-1907909.zip"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643</Words>
  <Characters>3666</Characters>
  <Application>Microsoft Office Word</Application>
  <DocSecurity>0</DocSecurity>
  <Lines>30</Lines>
  <Paragraphs>8</Paragraphs>
  <ScaleCrop>false</ScaleCrop>
  <Company/>
  <LinksUpToDate>false</LinksUpToDate>
  <CharactersWithSpaces>4301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Shupeng Li</cp:lastModifiedBy>
  <cp:revision>5</cp:revision>
  <dcterms:created xsi:type="dcterms:W3CDTF">2019-08-15T17:38:00Z</dcterms:created>
  <dcterms:modified xsi:type="dcterms:W3CDTF">2019-08-16T23:45:00Z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ies>
</file>